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679" w:type="dxa"/>
        <w:shd w:val="clear" w:color="auto" w:fill="4568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437B72" w:rsidRPr="00437B72" w:rsidTr="00437B72">
        <w:trPr>
          <w:tblCellSpacing w:w="15" w:type="dxa"/>
        </w:trPr>
        <w:tc>
          <w:tcPr>
            <w:tcW w:w="4971" w:type="pct"/>
            <w:shd w:val="clear" w:color="auto" w:fill="456896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437B72" w:rsidRPr="00437B72" w:rsidRDefault="00437B72" w:rsidP="00437B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i/>
                <w:color w:val="454545"/>
                <w:sz w:val="44"/>
                <w:szCs w:val="44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b/>
                <w:i/>
                <w:color w:val="454545"/>
                <w:sz w:val="44"/>
                <w:szCs w:val="44"/>
                <w:lang w:eastAsia="ru-RU"/>
              </w:rPr>
              <w:t>Кримінальна</w:t>
            </w:r>
            <w:proofErr w:type="spellEnd"/>
            <w:r w:rsidRPr="00437B72">
              <w:rPr>
                <w:rFonts w:ascii="Helvetica" w:eastAsia="Times New Roman" w:hAnsi="Helvetica" w:cs="Helvetica"/>
                <w:b/>
                <w:i/>
                <w:color w:val="454545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b/>
                <w:i/>
                <w:color w:val="454545"/>
                <w:sz w:val="44"/>
                <w:szCs w:val="44"/>
                <w:lang w:eastAsia="ru-RU"/>
              </w:rPr>
              <w:t>відповідальність</w:t>
            </w:r>
            <w:proofErr w:type="spellEnd"/>
            <w:r w:rsidRPr="00437B72">
              <w:rPr>
                <w:rFonts w:ascii="Helvetica" w:eastAsia="Times New Roman" w:hAnsi="Helvetica" w:cs="Helvetica"/>
                <w:b/>
                <w:i/>
                <w:color w:val="454545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b/>
                <w:i/>
                <w:color w:val="454545"/>
                <w:sz w:val="44"/>
                <w:szCs w:val="44"/>
                <w:lang w:eastAsia="ru-RU"/>
              </w:rPr>
              <w:t>неповнолітніх</w:t>
            </w:r>
            <w:proofErr w:type="spellEnd"/>
          </w:p>
        </w:tc>
      </w:tr>
    </w:tbl>
    <w:p w:rsidR="00437B72" w:rsidRPr="00437B72" w:rsidRDefault="00437B72" w:rsidP="00437B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CellSpacing w:w="15" w:type="dxa"/>
        <w:tblInd w:w="-679" w:type="dxa"/>
        <w:shd w:val="clear" w:color="auto" w:fill="4568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7"/>
      </w:tblGrid>
      <w:tr w:rsidR="00437B72" w:rsidRPr="00437B72" w:rsidTr="00437B72">
        <w:trPr>
          <w:tblCellSpacing w:w="15" w:type="dxa"/>
        </w:trPr>
        <w:tc>
          <w:tcPr>
            <w:tcW w:w="10147" w:type="dxa"/>
            <w:shd w:val="clear" w:color="auto" w:fill="456896"/>
            <w:tcMar>
              <w:top w:w="15" w:type="dxa"/>
              <w:left w:w="0" w:type="dxa"/>
              <w:bottom w:w="75" w:type="dxa"/>
              <w:right w:w="75" w:type="dxa"/>
            </w:tcMar>
            <w:hideMark/>
          </w:tcPr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43175" cy="1971675"/>
                  <wp:effectExtent l="19050" t="0" r="9525" b="0"/>
                  <wp:wrapSquare wrapText="bothSides"/>
                  <wp:docPr id="4" name="Рисунок 2" descr="http://www.model.poltava.ua/images/stories/2013/smishni_zakonu_22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del.poltava.ua/images/stories/2013/smishni_zakonu_22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Злочинність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постійно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привертає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себе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увагу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 На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сьогодні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зумовлено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тим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завжди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визнавалися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злочинцями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особливого роду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становлять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одну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найбільш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уражених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верств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населення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Соц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іальна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занедбаність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 умов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плюралізму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поглядів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відсутності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чітких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моральних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орієнтирів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сприяє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виникненню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поширенню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негативних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явищ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середовищі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 За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сучасних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умов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розвитку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суспільства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визнається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злочинців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недостатнім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застосування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лише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медико-педагогічних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заході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певних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випадках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держава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змушена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притягувати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відповідальності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Чинне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законодавство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передбача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кримінальній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відповідальності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підлягають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особи,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яким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скоєння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виповнилось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16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(ст. 22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).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Лише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деякі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спеціально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вказані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законі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відповідальність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настати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14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Згідно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ч. 2 ст. 22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особи,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вчинили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віці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чотирнадцяти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шістнадцяти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ідлягають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кримінальній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відповідальності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лише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за: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умисне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вбивство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115-117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посягання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державного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громадського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діяча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працівника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правоохоронного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органу, члена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громадського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формування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охорони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громадського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порядку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державного кордону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військовослужбовця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судді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народного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засідателя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присяжного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зв’язку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діяльністю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пов’язаною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здійсненням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правосуддя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захисника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представника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особи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зв’язку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діяльністю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пов’язаною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наданням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правово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допомоги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представника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іноземної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держави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112, 348, 379, 400, 443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умисне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тяжке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тілесне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ушкодження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121,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частина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третя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статей 345, 346, 350, 377, 398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умисне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середньої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тяжкості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тілесне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ушкодження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122,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частина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друга статей 345, 346, 350, 377, 398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диверсію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113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бандитизм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257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терористичний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акт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258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захоплення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заручників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147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349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зґвалтування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152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насильницьке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задоволення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статевої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пристрасті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неприродним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способом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153);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крадіжку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185,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частина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перша статей 262, 308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грабіж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186, 262, 308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розбій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187,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частина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третя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статей 262, 308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вимагання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189, 262, 308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умисне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знищення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пошкодження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майна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частина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друга статей 194, 347, 352, 378,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частини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друга 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третя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399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пошкодження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шля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хів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спол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учення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транспортних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засобів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277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угон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захоплення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залізничного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рухомого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складу,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повітряного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морського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ічкового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судна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278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незаконне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заволодіння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транспортним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засобом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частини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друга,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третя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278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);</w:t>
            </w:r>
          </w:p>
          <w:p w:rsidR="00437B72" w:rsidRPr="00437B72" w:rsidRDefault="00437B72" w:rsidP="00437B7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хуліганство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296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 Разом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тим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вже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16, а не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14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настає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відповідальність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вбивство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необережності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умисне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легке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тілесне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ушкодження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кодекс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враховуючи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біологічні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соц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іальні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психологічні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особливості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по-новому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визначає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відповідальність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означа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вперше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вітчизняному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КК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спеціальному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розділі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розділ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XV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Загальної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частини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сконцентровані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питання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щодо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видів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які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застосовані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злочинців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призначення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їм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звільнення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які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скоїли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відповідальності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погашення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зняття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судимості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загалом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характеризувати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ці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положення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то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висновок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один –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порівняно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дорослими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злочинц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і-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привілейований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кримінально-правовий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статус.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 По-перше,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чинний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виділяє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окрему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систему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які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застосовані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визнаних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винними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скоєнні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ст. 98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застосовані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лише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п’ять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видів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основних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(штраф,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громадські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роботи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виправні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роботи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арешт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певний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строк), 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два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види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додаткових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(штраф 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права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обіймати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певні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посади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займатися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певного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діяльністю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Водночас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карати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наприклад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обмеженням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довічним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відміну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дорослих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у них не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конфісковувати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майно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По-друге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передбачив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особливі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розміри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Так,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максимальний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розмі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штрафу для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такої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особи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становити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п’ятсот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неоподатковуваних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мінімумів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доходів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громадян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(для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дорослих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тисяча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а в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деяких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випадках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більше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).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громадські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роботи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дорослим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призначені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строк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шістдесяти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двохсот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сорока годин, то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тридцяти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ста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двадцяти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годин.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вигляді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виправних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робіт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призначено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неповнолітньому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строк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двох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місяців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одного року,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тоді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дорослому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шести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місяців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двох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зменшено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розмі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відрахувань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суми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заробітку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засудженого-неповнолітнього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становить 5-10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відсотків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(для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дорослих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10-20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відсотків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).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Коротший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строк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арешту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їм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призначено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строк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більш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як 10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лише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умисне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людини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– до 15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).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вужче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коло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застосовані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які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досягли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16-річного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Переважна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більшість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санкцій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єдиним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вчинення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такими особами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передбачає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певний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строк.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Лише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 ч. 1 ст. 185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крадіжка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карається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штрафом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п’ятдесяти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неоподатковуваних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мінімумів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доходів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громадян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виправними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роботами на строк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двох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строк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трьох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), ч. 1 ст. 186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грабіж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карається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штрафом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п’ятдесяти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ста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неоподатковуваних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мінімумів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доходів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громадян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виправними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роботами на строк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двох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строк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чотирьох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), ч. 1 ст. 277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пошкодження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шляхів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сполучення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транспортних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засобів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карається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штрафом до ста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неоподатковуваних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мінімумів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доходів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громадян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виправними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роботами 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строк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двох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позбавленням</w:t>
            </w:r>
            <w:proofErr w:type="spellEnd"/>
            <w:r w:rsidRPr="00437B72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строк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трьох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) альтернативою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штраф.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 У ч. 1 ст. 296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хуліганство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карається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штрафом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п’ятисот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тисячі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неоподатковуваних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мінімумів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доходів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громадян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арештом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строк до шести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місяців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обмеженням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строк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п’яти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єдиним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бути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застосовано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таких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штраф.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По-трет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(ст. 97)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передбачає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можливість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звільнення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який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уперше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скоїв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невеликої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тяжкості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кримінальної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відповідальності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Але за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виправлення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цього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можливе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застосування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Дійшовши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такого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висновку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суд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застосовує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ідсудного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примусові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заходи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виховного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характеру.</w:t>
            </w:r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По-четверте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виходячи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принципів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гуманізму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КК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встановлює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особливу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ідставу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звільнення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Йдеться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ситуацію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коли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неповнолітній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який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скоїв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невеликої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середньої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тяжкості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щиро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покаявся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подальшому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поводився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бездоганно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правової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точки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зору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цьому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разі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суд,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дійшовши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момент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встановлення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вироку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висновку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про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недоцільність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застосування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такого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звільнити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покарання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застосувати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примусові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заходи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виховного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характеру (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застереження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обмеження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дозвілля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передання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нагляд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батьків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педагогічного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трудового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колективу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lastRenderedPageBreak/>
              <w:t>інших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покладення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обов’язку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відшкодувати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заподіяну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шкоду;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направити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неповнолітнього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спеціальної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навчально-виховної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установи).</w:t>
            </w:r>
            <w:proofErr w:type="gramEnd"/>
          </w:p>
          <w:p w:rsidR="00437B72" w:rsidRPr="00437B72" w:rsidRDefault="00437B72" w:rsidP="00437B72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37B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особливо треба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мати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увазі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батькам,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щоб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дивувалися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потім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скоєння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однакового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одне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чадо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опинилося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за гратами,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інше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вол</w:t>
            </w:r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Зможете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довести суду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виховний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потенціал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своєї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сім’ї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колективу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де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навчається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чадо –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позбавите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“неба у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клітинку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”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подальшої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долі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рецидивіста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Зрозуміло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такого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привілею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дорослих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злочинці</w:t>
            </w:r>
            <w:proofErr w:type="gram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передбачено</w:t>
            </w:r>
            <w:proofErr w:type="spellEnd"/>
            <w:r w:rsidRPr="00437B72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88632D" w:rsidRDefault="0088632D" w:rsidP="00437B72">
      <w:pPr>
        <w:shd w:val="clear" w:color="auto" w:fill="FFFFFF" w:themeFill="background1"/>
      </w:pPr>
    </w:p>
    <w:sectPr w:rsidR="0088632D" w:rsidSect="00437B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C86"/>
    <w:multiLevelType w:val="multilevel"/>
    <w:tmpl w:val="931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72"/>
    <w:rsid w:val="00437B72"/>
    <w:rsid w:val="0088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437B72"/>
  </w:style>
  <w:style w:type="paragraph" w:styleId="a3">
    <w:name w:val="Normal (Web)"/>
    <w:basedOn w:val="a"/>
    <w:uiPriority w:val="99"/>
    <w:unhideWhenUsed/>
    <w:rsid w:val="004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B72"/>
  </w:style>
  <w:style w:type="paragraph" w:styleId="a4">
    <w:name w:val="Balloon Text"/>
    <w:basedOn w:val="a"/>
    <w:link w:val="a5"/>
    <w:uiPriority w:val="99"/>
    <w:semiHidden/>
    <w:unhideWhenUsed/>
    <w:rsid w:val="004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7450</Characters>
  <Application>Microsoft Office Word</Application>
  <DocSecurity>0</DocSecurity>
  <Lines>232</Lines>
  <Paragraphs>237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1</cp:revision>
  <dcterms:created xsi:type="dcterms:W3CDTF">2016-12-19T07:48:00Z</dcterms:created>
  <dcterms:modified xsi:type="dcterms:W3CDTF">2016-12-19T07:51:00Z</dcterms:modified>
</cp:coreProperties>
</file>